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3582" w14:textId="77777777" w:rsidR="00896755" w:rsidRDefault="00896755" w:rsidP="00896755">
      <w:pPr>
        <w:rPr>
          <w:lang w:val="de-CH"/>
        </w:rPr>
      </w:pPr>
    </w:p>
    <w:p w14:paraId="7EBFA63F" w14:textId="77777777" w:rsidR="00896755" w:rsidRDefault="00896755" w:rsidP="00896755">
      <w:pPr>
        <w:rPr>
          <w:lang w:val="de-CH"/>
        </w:rPr>
      </w:pPr>
    </w:p>
    <w:p w14:paraId="1959BFFE" w14:textId="77777777" w:rsidR="00896755" w:rsidRDefault="00896755" w:rsidP="00896755">
      <w:pPr>
        <w:rPr>
          <w:lang w:val="de-CH"/>
        </w:rPr>
      </w:pPr>
    </w:p>
    <w:p w14:paraId="2327258D" w14:textId="77777777" w:rsidR="00896755" w:rsidRDefault="00896755" w:rsidP="00896755">
      <w:pPr>
        <w:rPr>
          <w:lang w:val="de-CH"/>
        </w:rPr>
      </w:pPr>
      <w:bookmarkStart w:id="0" w:name="_GoBack"/>
      <w:bookmarkEnd w:id="0"/>
    </w:p>
    <w:p w14:paraId="2FD8677E" w14:textId="77777777" w:rsidR="00896755" w:rsidRDefault="00896755" w:rsidP="00896755">
      <w:pPr>
        <w:rPr>
          <w:lang w:val="de-CH"/>
        </w:rPr>
      </w:pPr>
    </w:p>
    <w:p w14:paraId="1C071B60" w14:textId="77777777" w:rsidR="00896755" w:rsidRDefault="00896755" w:rsidP="00896755">
      <w:pPr>
        <w:rPr>
          <w:rFonts w:ascii="UnitOT-Light" w:hAnsi="UnitOT-Light" w:cs="Arial"/>
          <w:b/>
        </w:rPr>
      </w:pPr>
      <w:proofErr w:type="spellStart"/>
      <w:r>
        <w:rPr>
          <w:rFonts w:ascii="UnitOT-Light" w:hAnsi="UnitOT-Light" w:cs="Arial"/>
          <w:b/>
        </w:rPr>
        <w:t>Checkliste</w:t>
      </w:r>
      <w:proofErr w:type="spellEnd"/>
      <w:r>
        <w:rPr>
          <w:rFonts w:ascii="UnitOT-Light" w:hAnsi="UnitOT-Light" w:cs="Arial"/>
          <w:b/>
        </w:rPr>
        <w:t xml:space="preserve"> | </w:t>
      </w:r>
      <w:proofErr w:type="spellStart"/>
      <w:r>
        <w:rPr>
          <w:rFonts w:ascii="UnitOT-Light" w:hAnsi="UnitOT-Light" w:cs="Arial"/>
          <w:b/>
        </w:rPr>
        <w:t>Sanitätszimmer</w:t>
      </w:r>
      <w:proofErr w:type="spellEnd"/>
    </w:p>
    <w:p w14:paraId="57B1FA1B" w14:textId="77777777" w:rsidR="00896755" w:rsidRDefault="00896755" w:rsidP="00896755">
      <w:pPr>
        <w:rPr>
          <w:rFonts w:ascii="UnitOT-Light" w:hAnsi="UnitOT-Light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96755" w14:paraId="1A8CE458" w14:textId="77777777" w:rsidTr="00AC2500">
        <w:tc>
          <w:tcPr>
            <w:tcW w:w="4248" w:type="dxa"/>
          </w:tcPr>
          <w:p w14:paraId="61D4BB8B" w14:textId="77777777" w:rsidR="00896755" w:rsidRDefault="00896755" w:rsidP="00AC2500">
            <w:pPr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  <w:b/>
              </w:rPr>
              <w:t>Raum</w:t>
            </w:r>
          </w:p>
          <w:p w14:paraId="392BA641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187F9C">
              <w:rPr>
                <w:rFonts w:ascii="UnitOT-Light" w:hAnsi="UnitOT-Light" w:cs="Arial"/>
              </w:rPr>
              <w:t>Gute Zugänglichkeit</w:t>
            </w:r>
            <w:r>
              <w:rPr>
                <w:rFonts w:ascii="UnitOT-Light" w:hAnsi="UnitOT-Light" w:cs="Arial"/>
              </w:rPr>
              <w:t xml:space="preserve"> (EG / Lift </w:t>
            </w:r>
            <w:r w:rsidR="000646E2">
              <w:rPr>
                <w:rFonts w:ascii="UnitOT-Light" w:hAnsi="UnitOT-Light" w:cs="Arial"/>
              </w:rPr>
              <w:t>Bahren-gängig</w:t>
            </w:r>
            <w:r w:rsidRPr="00187F9C">
              <w:rPr>
                <w:rFonts w:ascii="UnitOT-Light" w:hAnsi="UnitOT-Light" w:cs="Arial"/>
              </w:rPr>
              <w:t>)</w:t>
            </w:r>
          </w:p>
          <w:p w14:paraId="5A95CE86" w14:textId="77777777" w:rsidR="00896755" w:rsidRPr="00187F9C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937881">
              <w:rPr>
                <w:rFonts w:ascii="UnitOT-Light" w:hAnsi="UnitOT-Light" w:cs="Arial"/>
              </w:rPr>
              <w:t>Mindestfläche 18m</w:t>
            </w:r>
            <w:r w:rsidRPr="00937881">
              <w:rPr>
                <w:rFonts w:ascii="UnitOT-Light" w:hAnsi="UnitOT-Light" w:cs="Arial"/>
                <w:vertAlign w:val="superscript"/>
              </w:rPr>
              <w:t>2</w:t>
            </w:r>
          </w:p>
          <w:p w14:paraId="4020CC63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937881">
              <w:rPr>
                <w:rFonts w:ascii="UnitOT-Light" w:hAnsi="UnitOT-Light" w:cs="Arial"/>
              </w:rPr>
              <w:t xml:space="preserve">Zugangstüre min. </w:t>
            </w:r>
            <w:r>
              <w:rPr>
                <w:rFonts w:ascii="UnitOT-Light" w:hAnsi="UnitOT-Light" w:cs="Arial"/>
              </w:rPr>
              <w:t>90 cm</w:t>
            </w:r>
            <w:r w:rsidRPr="00937881">
              <w:rPr>
                <w:rFonts w:ascii="UnitOT-Light" w:hAnsi="UnitOT-Light" w:cs="Arial"/>
              </w:rPr>
              <w:t xml:space="preserve"> breit</w:t>
            </w:r>
          </w:p>
          <w:p w14:paraId="454DC669" w14:textId="77777777" w:rsidR="00896755" w:rsidRPr="00187F9C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187F9C">
              <w:rPr>
                <w:rFonts w:ascii="UnitOT-Light" w:hAnsi="UnitOT-Light" w:cs="Arial"/>
              </w:rPr>
              <w:t>Lavabo mit kaltem und warme</w:t>
            </w:r>
            <w:r w:rsidR="000646E2">
              <w:rPr>
                <w:rFonts w:ascii="UnitOT-Light" w:hAnsi="UnitOT-Light" w:cs="Arial"/>
              </w:rPr>
              <w:t>m</w:t>
            </w:r>
            <w:r w:rsidRPr="00187F9C">
              <w:rPr>
                <w:rFonts w:ascii="UnitOT-Light" w:hAnsi="UnitOT-Light" w:cs="Arial"/>
              </w:rPr>
              <w:t xml:space="preserve"> Wasser</w:t>
            </w:r>
          </w:p>
          <w:p w14:paraId="53C178D1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I</w:t>
            </w:r>
            <w:r w:rsidRPr="00937881">
              <w:rPr>
                <w:rFonts w:ascii="UnitOT-Light" w:hAnsi="UnitOT-Light" w:cs="Arial"/>
              </w:rPr>
              <w:t>ntegrierte Augendusche</w:t>
            </w:r>
            <w:r>
              <w:rPr>
                <w:rFonts w:ascii="UnitOT-Light" w:hAnsi="UnitOT-Light" w:cs="Arial"/>
              </w:rPr>
              <w:t xml:space="preserve"> am Wasserhahn </w:t>
            </w:r>
          </w:p>
          <w:p w14:paraId="2D3E9807" w14:textId="031912AE" w:rsidR="00896755" w:rsidRDefault="0029022C" w:rsidP="0029022C">
            <w:pPr>
              <w:pStyle w:val="Listenabsatz"/>
              <w:ind w:left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o</w:t>
            </w:r>
            <w:r w:rsidR="00896755">
              <w:rPr>
                <w:rFonts w:ascii="UnitOT-Light" w:hAnsi="UnitOT-Light" w:cs="Arial"/>
              </w:rPr>
              <w:t>der</w:t>
            </w:r>
            <w:r>
              <w:rPr>
                <w:rFonts w:ascii="UnitOT-Light" w:hAnsi="UnitOT-Light" w:cs="Arial"/>
              </w:rPr>
              <w:t xml:space="preserve"> </w:t>
            </w:r>
            <w:r w:rsidR="00896755">
              <w:rPr>
                <w:rFonts w:ascii="UnitOT-Light" w:hAnsi="UnitOT-Light" w:cs="Arial"/>
              </w:rPr>
              <w:t>Augendusche (mit Wandhalterung)</w:t>
            </w:r>
          </w:p>
          <w:p w14:paraId="555B014F" w14:textId="77777777" w:rsidR="00896755" w:rsidRPr="007873C4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937881">
              <w:rPr>
                <w:rFonts w:ascii="UnitOT-Light" w:hAnsi="UnitOT-Light" w:cs="Arial"/>
              </w:rPr>
              <w:t>Telefon mit Direktwahl</w:t>
            </w:r>
          </w:p>
          <w:p w14:paraId="1F4E1974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937881">
              <w:rPr>
                <w:rFonts w:ascii="UnitOT-Light" w:hAnsi="UnitOT-Light" w:cs="Arial"/>
              </w:rPr>
              <w:t xml:space="preserve">Gute </w:t>
            </w:r>
            <w:proofErr w:type="gramStart"/>
            <w:r w:rsidRPr="00937881">
              <w:rPr>
                <w:rFonts w:ascii="UnitOT-Light" w:hAnsi="UnitOT-Light" w:cs="Arial"/>
              </w:rPr>
              <w:t xml:space="preserve">Lüftung </w:t>
            </w:r>
            <w:r>
              <w:rPr>
                <w:rFonts w:ascii="UnitOT-Light" w:hAnsi="UnitOT-Light" w:cs="Arial"/>
              </w:rPr>
              <w:t xml:space="preserve"> </w:t>
            </w:r>
            <w:r w:rsidRPr="00937881">
              <w:rPr>
                <w:rFonts w:ascii="UnitOT-Light" w:hAnsi="UnitOT-Light" w:cs="Arial"/>
              </w:rPr>
              <w:t>(</w:t>
            </w:r>
            <w:proofErr w:type="gramEnd"/>
            <w:r>
              <w:rPr>
                <w:rFonts w:ascii="UnitOT-Light" w:hAnsi="UnitOT-Light" w:cs="Arial"/>
              </w:rPr>
              <w:t xml:space="preserve">wenn möglich </w:t>
            </w:r>
            <w:r w:rsidRPr="00937881">
              <w:rPr>
                <w:rFonts w:ascii="UnitOT-Light" w:hAnsi="UnitOT-Light" w:cs="Arial"/>
              </w:rPr>
              <w:t>natürlich)</w:t>
            </w:r>
          </w:p>
          <w:p w14:paraId="1233443F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Gute Lichtverhältnisse</w:t>
            </w:r>
          </w:p>
          <w:p w14:paraId="53CDD4D7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proofErr w:type="spellStart"/>
            <w:r>
              <w:rPr>
                <w:rFonts w:ascii="UnitOT-Light" w:hAnsi="UnitOT-Light" w:cs="Arial"/>
              </w:rPr>
              <w:t>Fussboden</w:t>
            </w:r>
            <w:proofErr w:type="spellEnd"/>
            <w:r>
              <w:rPr>
                <w:rFonts w:ascii="UnitOT-Light" w:hAnsi="UnitOT-Light" w:cs="Arial"/>
              </w:rPr>
              <w:t xml:space="preserve"> / Wände leicht zu reinigen</w:t>
            </w:r>
          </w:p>
          <w:p w14:paraId="1A6B1F8A" w14:textId="77777777" w:rsidR="00896755" w:rsidRDefault="00896755" w:rsidP="00AC2500">
            <w:pPr>
              <w:rPr>
                <w:rFonts w:ascii="UnitOT-Light" w:hAnsi="UnitOT-Light" w:cs="Arial"/>
              </w:rPr>
            </w:pPr>
          </w:p>
          <w:p w14:paraId="1AA5A609" w14:textId="77777777" w:rsidR="00896755" w:rsidRDefault="00896755" w:rsidP="00AC2500">
            <w:pPr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  <w:b/>
              </w:rPr>
              <w:t>Signalisation</w:t>
            </w:r>
          </w:p>
          <w:p w14:paraId="5FDF63E3" w14:textId="77777777" w:rsidR="00896755" w:rsidRDefault="00896755" w:rsidP="00AC2500">
            <w:pPr>
              <w:rPr>
                <w:rFonts w:ascii="UnitOT-Light" w:hAnsi="UnitOT-Light" w:cs="Arial"/>
              </w:rPr>
            </w:pPr>
            <w:r w:rsidRPr="00937881">
              <w:rPr>
                <w:rFonts w:ascii="UnitOT-Light" w:hAnsi="UnitOT-Light" w:cs="Arial"/>
              </w:rPr>
              <w:t xml:space="preserve">Das </w:t>
            </w:r>
            <w:r>
              <w:rPr>
                <w:rFonts w:ascii="UnitOT-Light" w:hAnsi="UnitOT-Light" w:cs="Arial"/>
              </w:rPr>
              <w:t>Sanitätsz</w:t>
            </w:r>
            <w:r w:rsidRPr="00937881">
              <w:rPr>
                <w:rFonts w:ascii="UnitOT-Light" w:hAnsi="UnitOT-Light" w:cs="Arial"/>
              </w:rPr>
              <w:t>immer ist gut sichtbar zu kennzeichnen</w:t>
            </w:r>
          </w:p>
          <w:p w14:paraId="1807D349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 xml:space="preserve">Fahnenschild 1. Hilfe 20x20 cm </w:t>
            </w:r>
          </w:p>
          <w:p w14:paraId="063A7212" w14:textId="061B288A" w:rsidR="00896755" w:rsidRPr="00187F9C" w:rsidRDefault="0029022C" w:rsidP="0029022C">
            <w:pPr>
              <w:pStyle w:val="Listenabsatz"/>
              <w:ind w:left="284"/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</w:rPr>
              <w:t>o</w:t>
            </w:r>
            <w:r w:rsidR="00896755">
              <w:rPr>
                <w:rFonts w:ascii="UnitOT-Light" w:hAnsi="UnitOT-Light" w:cs="Arial"/>
              </w:rPr>
              <w:t>der</w:t>
            </w:r>
            <w:r>
              <w:rPr>
                <w:rFonts w:ascii="UnitOT-Light" w:hAnsi="UnitOT-Light" w:cs="Arial"/>
              </w:rPr>
              <w:t xml:space="preserve"> </w:t>
            </w:r>
            <w:r w:rsidR="00896755" w:rsidRPr="00937881">
              <w:rPr>
                <w:rFonts w:ascii="UnitOT-Light" w:hAnsi="UnitOT-Light" w:cs="Arial"/>
              </w:rPr>
              <w:t>Kleber</w:t>
            </w:r>
            <w:r>
              <w:rPr>
                <w:rFonts w:ascii="UnitOT-Light" w:hAnsi="UnitOT-Light" w:cs="Arial"/>
              </w:rPr>
              <w:t>/Schild</w:t>
            </w:r>
            <w:r w:rsidR="00896755" w:rsidRPr="00937881">
              <w:rPr>
                <w:rFonts w:ascii="UnitOT-Light" w:hAnsi="UnitOT-Light" w:cs="Arial"/>
              </w:rPr>
              <w:t xml:space="preserve"> 15x15cm </w:t>
            </w:r>
          </w:p>
          <w:p w14:paraId="0B36E0CD" w14:textId="77777777" w:rsidR="00896755" w:rsidRDefault="00896755" w:rsidP="00AC2500">
            <w:pPr>
              <w:rPr>
                <w:rFonts w:ascii="UnitOT-Light" w:hAnsi="UnitOT-Light" w:cs="Arial"/>
                <w:b/>
              </w:rPr>
            </w:pPr>
          </w:p>
          <w:p w14:paraId="535ADE28" w14:textId="77777777" w:rsidR="00896755" w:rsidRDefault="00896755" w:rsidP="00AC2500">
            <w:pPr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  <w:b/>
              </w:rPr>
              <w:t>Reinigung</w:t>
            </w:r>
          </w:p>
          <w:p w14:paraId="60097B85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937881">
              <w:rPr>
                <w:rFonts w:ascii="UnitOT-Light" w:hAnsi="UnitOT-Light" w:cs="Arial"/>
              </w:rPr>
              <w:t xml:space="preserve">Seifenspender </w:t>
            </w:r>
          </w:p>
          <w:p w14:paraId="66D49919" w14:textId="77777777" w:rsidR="00896755" w:rsidRPr="00187F9C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  <w:b/>
              </w:rPr>
            </w:pPr>
            <w:r w:rsidRPr="00937881">
              <w:rPr>
                <w:rFonts w:ascii="UnitOT-Light" w:hAnsi="UnitOT-Light" w:cs="Arial"/>
              </w:rPr>
              <w:t>Papier-Handtuch</w:t>
            </w:r>
            <w:r>
              <w:rPr>
                <w:rFonts w:ascii="UnitOT-Light" w:hAnsi="UnitOT-Light" w:cs="Arial"/>
              </w:rPr>
              <w:t>spender</w:t>
            </w:r>
          </w:p>
          <w:p w14:paraId="0502309F" w14:textId="77777777" w:rsidR="00896755" w:rsidRPr="00187F9C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</w:rPr>
              <w:t>Handpflegemittel</w:t>
            </w:r>
          </w:p>
          <w:p w14:paraId="401003C0" w14:textId="77777777" w:rsidR="00896755" w:rsidRPr="00187F9C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</w:rPr>
              <w:t>Dispenser mit Händedesinfektionsmittel</w:t>
            </w:r>
          </w:p>
          <w:p w14:paraId="416CBB3C" w14:textId="77777777" w:rsidR="00896755" w:rsidRPr="00187F9C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</w:rPr>
              <w:t xml:space="preserve">Flächendesinfektionstücher </w:t>
            </w:r>
          </w:p>
          <w:p w14:paraId="0357C883" w14:textId="77777777" w:rsidR="00896755" w:rsidRPr="007873C4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Abfalleimer (Treteimer)</w:t>
            </w:r>
          </w:p>
        </w:tc>
        <w:tc>
          <w:tcPr>
            <w:tcW w:w="4248" w:type="dxa"/>
          </w:tcPr>
          <w:p w14:paraId="59B409A7" w14:textId="77777777" w:rsidR="00896755" w:rsidRDefault="00896755" w:rsidP="00AC2500">
            <w:pPr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  <w:b/>
              </w:rPr>
              <w:t>Mobiliar</w:t>
            </w:r>
          </w:p>
          <w:p w14:paraId="6AE3311E" w14:textId="77777777" w:rsidR="00896755" w:rsidRPr="00937881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937881">
              <w:rPr>
                <w:rFonts w:ascii="UnitOT-Light" w:hAnsi="UnitOT-Light" w:cs="Arial"/>
              </w:rPr>
              <w:t xml:space="preserve">Liege mit Vorrichtung für Hoch/Tieflage von Kopf und Oberkörper (von </w:t>
            </w:r>
            <w:r>
              <w:rPr>
                <w:rFonts w:ascii="UnitOT-Light" w:hAnsi="UnitOT-Light" w:cs="Arial"/>
              </w:rPr>
              <w:t>mind. 2</w:t>
            </w:r>
            <w:r w:rsidRPr="00937881">
              <w:rPr>
                <w:rFonts w:ascii="UnitOT-Light" w:hAnsi="UnitOT-Light" w:cs="Arial"/>
              </w:rPr>
              <w:t xml:space="preserve"> Seiten zugänglich)</w:t>
            </w:r>
          </w:p>
          <w:p w14:paraId="28E049DB" w14:textId="77777777" w:rsidR="00896755" w:rsidRPr="007873C4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  <w:b/>
              </w:rPr>
            </w:pPr>
            <w:r>
              <w:rPr>
                <w:rFonts w:ascii="UnitOT-Light" w:hAnsi="UnitOT-Light" w:cs="Arial"/>
              </w:rPr>
              <w:t>Ev.</w:t>
            </w:r>
            <w:r w:rsidRPr="00937881">
              <w:rPr>
                <w:rFonts w:ascii="UnitOT-Light" w:hAnsi="UnitOT-Light" w:cs="Arial"/>
              </w:rPr>
              <w:t xml:space="preserve">  mit Halter für Papierrolle</w:t>
            </w:r>
          </w:p>
          <w:p w14:paraId="3F7E1712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  <w:b/>
              </w:rPr>
            </w:pPr>
            <w:r w:rsidRPr="007873C4">
              <w:rPr>
                <w:rFonts w:ascii="UnitOT-Light" w:hAnsi="UnitOT-Light" w:cs="Arial"/>
              </w:rPr>
              <w:t>Einwegkissen</w:t>
            </w:r>
          </w:p>
          <w:p w14:paraId="6347F670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 w:rsidRPr="007873C4">
              <w:rPr>
                <w:rFonts w:ascii="UnitOT-Light" w:hAnsi="UnitOT-Light" w:cs="Arial"/>
              </w:rPr>
              <w:t>Wolldecke</w:t>
            </w:r>
            <w:r>
              <w:rPr>
                <w:rFonts w:ascii="UnitOT-Light" w:hAnsi="UnitOT-Light" w:cs="Arial"/>
              </w:rPr>
              <w:t xml:space="preserve"> weich, waschbar</w:t>
            </w:r>
          </w:p>
          <w:p w14:paraId="5AC60BEA" w14:textId="77777777" w:rsidR="00896755" w:rsidRPr="007873C4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 xml:space="preserve">Materialschrank 2-türig (ev. </w:t>
            </w:r>
            <w:proofErr w:type="spellStart"/>
            <w:r>
              <w:rPr>
                <w:rFonts w:ascii="UnitOT-Light" w:hAnsi="UnitOT-Light" w:cs="Arial"/>
              </w:rPr>
              <w:t>abschliessbar</w:t>
            </w:r>
            <w:proofErr w:type="spellEnd"/>
            <w:r>
              <w:rPr>
                <w:rFonts w:ascii="UnitOT-Light" w:hAnsi="UnitOT-Light" w:cs="Arial"/>
              </w:rPr>
              <w:t>)</w:t>
            </w:r>
          </w:p>
          <w:p w14:paraId="7AC3F90E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Schreibpult und Stuhl</w:t>
            </w:r>
          </w:p>
          <w:p w14:paraId="4B368140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Rollhocker (für den Betriebssanitäter)</w:t>
            </w:r>
          </w:p>
          <w:p w14:paraId="05095523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Stuhl (für den Patienten)</w:t>
            </w:r>
          </w:p>
          <w:p w14:paraId="5213CDDF" w14:textId="77777777" w:rsidR="00896755" w:rsidRDefault="00896755" w:rsidP="00AC2500">
            <w:pPr>
              <w:rPr>
                <w:rFonts w:ascii="UnitOT-Light" w:hAnsi="UnitOT-Light" w:cs="Arial"/>
              </w:rPr>
            </w:pPr>
          </w:p>
          <w:p w14:paraId="5CCDB9A7" w14:textId="77777777" w:rsidR="00896755" w:rsidRPr="000D43FA" w:rsidRDefault="00896755" w:rsidP="00AC2500">
            <w:pPr>
              <w:rPr>
                <w:rFonts w:ascii="UnitOT-Light" w:hAnsi="UnitOT-Light" w:cs="Arial"/>
                <w:b/>
              </w:rPr>
            </w:pPr>
            <w:r w:rsidRPr="000D43FA">
              <w:rPr>
                <w:rFonts w:ascii="UnitOT-Light" w:hAnsi="UnitOT-Light" w:cs="Arial"/>
                <w:b/>
              </w:rPr>
              <w:t>Büromaterial</w:t>
            </w:r>
          </w:p>
          <w:p w14:paraId="5B582D1C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Kurzprotokoll</w:t>
            </w:r>
          </w:p>
          <w:p w14:paraId="60C76529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Einsatzprotokoll</w:t>
            </w:r>
          </w:p>
          <w:p w14:paraId="5C80B580" w14:textId="77777777" w:rsidR="00896755" w:rsidRPr="000D43FA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Schreibmaterial</w:t>
            </w:r>
          </w:p>
          <w:p w14:paraId="50BFE703" w14:textId="77777777" w:rsidR="00896755" w:rsidRDefault="00896755" w:rsidP="00AC2500">
            <w:pPr>
              <w:rPr>
                <w:rFonts w:ascii="UnitOT-Light" w:hAnsi="UnitOT-Light" w:cs="Arial"/>
              </w:rPr>
            </w:pPr>
          </w:p>
          <w:p w14:paraId="6D0E2D10" w14:textId="77777777" w:rsidR="00896755" w:rsidRPr="007873C4" w:rsidRDefault="00896755" w:rsidP="00AC2500">
            <w:pPr>
              <w:rPr>
                <w:rFonts w:ascii="UnitOT-Light" w:hAnsi="UnitOT-Light" w:cs="Arial"/>
              </w:rPr>
            </w:pPr>
            <w:r w:rsidRPr="007873C4">
              <w:rPr>
                <w:rFonts w:ascii="UnitOT-Light" w:hAnsi="UnitOT-Light" w:cs="Arial"/>
                <w:b/>
              </w:rPr>
              <w:t>Optional</w:t>
            </w:r>
            <w:r>
              <w:rPr>
                <w:rFonts w:ascii="UnitOT-Light" w:hAnsi="UnitOT-Light" w:cs="Arial"/>
                <w:b/>
              </w:rPr>
              <w:t xml:space="preserve"> </w:t>
            </w:r>
            <w:r>
              <w:rPr>
                <w:rFonts w:ascii="UnitOT-Light" w:hAnsi="UnitOT-Light" w:cs="Arial"/>
              </w:rPr>
              <w:t>(je nach Gefahren / Ausbildung)</w:t>
            </w:r>
          </w:p>
          <w:p w14:paraId="53E3A9E2" w14:textId="77777777" w:rsidR="00896755" w:rsidRDefault="000646E2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 xml:space="preserve">Untersuchungslampe mit Lupe </w:t>
            </w:r>
          </w:p>
          <w:p w14:paraId="5FF932AB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Einsatzkleidung (</w:t>
            </w:r>
            <w:proofErr w:type="spellStart"/>
            <w:r>
              <w:rPr>
                <w:rFonts w:ascii="UnitOT-Light" w:hAnsi="UnitOT-Light" w:cs="Arial"/>
              </w:rPr>
              <w:t>z.Bsp</w:t>
            </w:r>
            <w:proofErr w:type="spellEnd"/>
            <w:r>
              <w:rPr>
                <w:rFonts w:ascii="UnitOT-Light" w:hAnsi="UnitOT-Light" w:cs="Arial"/>
              </w:rPr>
              <w:t xml:space="preserve">. T-Shirt, </w:t>
            </w:r>
            <w:proofErr w:type="spellStart"/>
            <w:r>
              <w:rPr>
                <w:rFonts w:ascii="UnitOT-Light" w:hAnsi="UnitOT-Light" w:cs="Arial"/>
              </w:rPr>
              <w:t>Einsatzgilet</w:t>
            </w:r>
            <w:proofErr w:type="spellEnd"/>
            <w:r>
              <w:rPr>
                <w:rFonts w:ascii="UnitOT-Light" w:hAnsi="UnitOT-Light" w:cs="Arial"/>
              </w:rPr>
              <w:t>, Helm, PSA für Chemikalien)</w:t>
            </w:r>
          </w:p>
          <w:p w14:paraId="7619B5B7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Tragbahre</w:t>
            </w:r>
          </w:p>
          <w:p w14:paraId="535D2763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Schaufeltrage / Spineboard</w:t>
            </w:r>
          </w:p>
          <w:p w14:paraId="37BCEF2F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 xml:space="preserve">Schnellkocher für </w:t>
            </w:r>
            <w:proofErr w:type="spellStart"/>
            <w:r>
              <w:rPr>
                <w:rFonts w:ascii="UnitOT-Light" w:hAnsi="UnitOT-Light" w:cs="Arial"/>
              </w:rPr>
              <w:t>heisse</w:t>
            </w:r>
            <w:proofErr w:type="spellEnd"/>
            <w:r>
              <w:rPr>
                <w:rFonts w:ascii="UnitOT-Light" w:hAnsi="UnitOT-Light" w:cs="Arial"/>
              </w:rPr>
              <w:t xml:space="preserve"> Getränke</w:t>
            </w:r>
          </w:p>
          <w:p w14:paraId="6630BF54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Getränkebecher mit Dispenser</w:t>
            </w:r>
          </w:p>
          <w:p w14:paraId="7728F0E0" w14:textId="77777777" w:rsidR="00896755" w:rsidRDefault="00896755" w:rsidP="00896755">
            <w:pPr>
              <w:pStyle w:val="Listenabsatz"/>
              <w:numPr>
                <w:ilvl w:val="1"/>
                <w:numId w:val="2"/>
              </w:numPr>
              <w:ind w:left="284" w:hanging="284"/>
              <w:rPr>
                <w:rFonts w:ascii="UnitOT-Light" w:hAnsi="UnitOT-Light" w:cs="Arial"/>
              </w:rPr>
            </w:pPr>
            <w:r>
              <w:rPr>
                <w:rFonts w:ascii="UnitOT-Light" w:hAnsi="UnitOT-Light" w:cs="Arial"/>
              </w:rPr>
              <w:t>Taxi-Gutscheine</w:t>
            </w:r>
          </w:p>
          <w:p w14:paraId="78ADA8C6" w14:textId="77777777" w:rsidR="00896755" w:rsidRDefault="00896755" w:rsidP="00AC2500">
            <w:pPr>
              <w:rPr>
                <w:rFonts w:ascii="UnitOT-Light" w:hAnsi="UnitOT-Light" w:cs="Arial"/>
              </w:rPr>
            </w:pPr>
          </w:p>
          <w:p w14:paraId="3930A73F" w14:textId="77777777" w:rsidR="00896755" w:rsidRDefault="00896755" w:rsidP="00AC2500">
            <w:pPr>
              <w:rPr>
                <w:rFonts w:ascii="UnitOT-Light" w:hAnsi="UnitOT-Light" w:cs="Arial"/>
                <w:b/>
              </w:rPr>
            </w:pPr>
          </w:p>
        </w:tc>
      </w:tr>
    </w:tbl>
    <w:p w14:paraId="2A20D03F" w14:textId="77777777" w:rsidR="00896755" w:rsidRDefault="00896755" w:rsidP="00896755">
      <w:pPr>
        <w:rPr>
          <w:rStyle w:val="3Grundtext"/>
        </w:rPr>
      </w:pPr>
    </w:p>
    <w:p w14:paraId="47E1D747" w14:textId="77777777" w:rsidR="00896755" w:rsidRPr="0029022C" w:rsidRDefault="00896755" w:rsidP="00896755">
      <w:pPr>
        <w:rPr>
          <w:rStyle w:val="3Grundtext"/>
          <w:lang w:val="de-CH"/>
        </w:rPr>
      </w:pPr>
      <w:r w:rsidRPr="0029022C">
        <w:rPr>
          <w:rStyle w:val="3Grundtext"/>
          <w:lang w:val="de-CH"/>
        </w:rPr>
        <w:t xml:space="preserve">Das Erste-Hilfe-Material ist an die im Betrieb vorhandenen Gefahren und Gegebenheiten anzupassen. Lassen Sie sich von Ihrem Schulungspartner, welcher Ihre Betriebssanitäter ausbildet, beraten oder </w:t>
      </w:r>
      <w:r w:rsidR="000646E2" w:rsidRPr="0029022C">
        <w:rPr>
          <w:rStyle w:val="3Grundtext"/>
          <w:lang w:val="de-CH"/>
        </w:rPr>
        <w:t>setzen</w:t>
      </w:r>
      <w:r w:rsidRPr="0029022C">
        <w:rPr>
          <w:rStyle w:val="3Grundtext"/>
          <w:lang w:val="de-CH"/>
        </w:rPr>
        <w:t xml:space="preserve"> Sie sich mit uns in Verbindung.</w:t>
      </w:r>
    </w:p>
    <w:p w14:paraId="3E0CA931" w14:textId="77777777" w:rsidR="00CF7CAC" w:rsidRPr="001D445C" w:rsidRDefault="00CF7CAC" w:rsidP="00896755">
      <w:pPr>
        <w:spacing w:after="0"/>
        <w:rPr>
          <w:lang w:val="de-CH"/>
        </w:rPr>
      </w:pPr>
    </w:p>
    <w:sectPr w:rsidR="00CF7CAC" w:rsidRPr="001D445C" w:rsidSect="0004244B">
      <w:headerReference w:type="default" r:id="rId7"/>
      <w:footerReference w:type="default" r:id="rId8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CDD2" w14:textId="77777777" w:rsidR="00E054B3" w:rsidRDefault="00E054B3" w:rsidP="0004244B">
      <w:pPr>
        <w:spacing w:after="0" w:line="240" w:lineRule="auto"/>
      </w:pPr>
      <w:r>
        <w:separator/>
      </w:r>
    </w:p>
  </w:endnote>
  <w:endnote w:type="continuationSeparator" w:id="0">
    <w:p w14:paraId="12A45450" w14:textId="77777777" w:rsidR="00E054B3" w:rsidRDefault="00E054B3" w:rsidP="0004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OT-Light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4177"/>
    </w:tblGrid>
    <w:tr w:rsidR="00896755" w14:paraId="7C3EAB04" w14:textId="77777777" w:rsidTr="00AC2500">
      <w:tc>
        <w:tcPr>
          <w:tcW w:w="4495" w:type="dxa"/>
        </w:tcPr>
        <w:p w14:paraId="0A984F9A" w14:textId="77777777" w:rsidR="00896755" w:rsidRDefault="00E054B3" w:rsidP="00AC2500">
          <w:pPr>
            <w:pStyle w:val="Fuzeile"/>
            <w:rPr>
              <w:rFonts w:ascii="UnitOT-Light" w:hAnsi="UnitOT-Light"/>
              <w:color w:val="808080" w:themeColor="background1" w:themeShade="80"/>
            </w:rPr>
          </w:pPr>
          <w:hyperlink r:id="rId1" w:history="1">
            <w:r w:rsidR="00896755" w:rsidRPr="00A51650">
              <w:rPr>
                <w:rStyle w:val="Hyperlink"/>
                <w:rFonts w:ascii="UnitOT-Light" w:hAnsi="UnitOT-Light"/>
                <w:color w:val="023160" w:themeColor="hyperlink" w:themeShade="80"/>
              </w:rPr>
              <w:t>www.svbs-asse.ch</w:t>
            </w:r>
          </w:hyperlink>
          <w:r w:rsidR="00896755">
            <w:rPr>
              <w:rFonts w:ascii="UnitOT-Light" w:hAnsi="UnitOT-Light"/>
              <w:color w:val="808080" w:themeColor="background1" w:themeShade="80"/>
            </w:rPr>
            <w:t xml:space="preserve"> </w:t>
          </w:r>
        </w:p>
      </w:tc>
      <w:tc>
        <w:tcPr>
          <w:tcW w:w="4177" w:type="dxa"/>
        </w:tcPr>
        <w:p w14:paraId="10327EFF" w14:textId="0340BEF6" w:rsidR="00896755" w:rsidRDefault="00896755" w:rsidP="00AC2500">
          <w:pPr>
            <w:pStyle w:val="Fuzeile"/>
            <w:jc w:val="right"/>
            <w:rPr>
              <w:rFonts w:ascii="UnitOT-Light" w:hAnsi="UnitOT-Light"/>
              <w:color w:val="808080" w:themeColor="background1" w:themeShade="80"/>
            </w:rPr>
          </w:pPr>
          <w:proofErr w:type="spellStart"/>
          <w:r>
            <w:rPr>
              <w:rFonts w:ascii="UnitOT-Light" w:hAnsi="UnitOT-Light"/>
              <w:color w:val="808080" w:themeColor="background1" w:themeShade="80"/>
            </w:rPr>
            <w:t>H.Vock</w:t>
          </w:r>
          <w:proofErr w:type="spellEnd"/>
          <w:r>
            <w:rPr>
              <w:rFonts w:ascii="UnitOT-Light" w:hAnsi="UnitOT-Light"/>
              <w:color w:val="808080" w:themeColor="background1" w:themeShade="80"/>
            </w:rPr>
            <w:t xml:space="preserve"> | </w:t>
          </w:r>
          <w:r w:rsidR="0029022C">
            <w:rPr>
              <w:rFonts w:ascii="UnitOT-Light" w:hAnsi="UnitOT-Light"/>
              <w:color w:val="808080" w:themeColor="background1" w:themeShade="80"/>
            </w:rPr>
            <w:t>September 2019</w:t>
          </w:r>
        </w:p>
      </w:tc>
    </w:tr>
  </w:tbl>
  <w:p w14:paraId="0B33A301" w14:textId="77777777" w:rsidR="00896755" w:rsidRDefault="008967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4587" w14:textId="77777777" w:rsidR="00E054B3" w:rsidRDefault="00E054B3" w:rsidP="0004244B">
      <w:pPr>
        <w:spacing w:after="0" w:line="240" w:lineRule="auto"/>
      </w:pPr>
      <w:r>
        <w:separator/>
      </w:r>
    </w:p>
  </w:footnote>
  <w:footnote w:type="continuationSeparator" w:id="0">
    <w:p w14:paraId="1692DC53" w14:textId="77777777" w:rsidR="00E054B3" w:rsidRDefault="00E054B3" w:rsidP="0004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EAA0" w14:textId="479821CB" w:rsidR="0004244B" w:rsidRPr="0004244B" w:rsidRDefault="00E90B61" w:rsidP="0004244B">
    <w:pPr>
      <w:pStyle w:val="Kopfzeile"/>
      <w:ind w:left="-709"/>
      <w:jc w:val="right"/>
      <w:rPr>
        <w:b/>
        <w:color w:val="002060"/>
        <w:sz w:val="24"/>
        <w:szCs w:val="24"/>
        <w:lang w:val="de-CH"/>
      </w:rPr>
    </w:pPr>
    <w:r>
      <w:rPr>
        <w:b/>
        <w:noProof/>
        <w:sz w:val="24"/>
        <w:szCs w:val="24"/>
        <w:lang w:val="de-CH" w:eastAsia="de-CH"/>
      </w:rPr>
      <w:drawing>
        <wp:anchor distT="0" distB="0" distL="114300" distR="114300" simplePos="0" relativeHeight="251658240" behindDoc="0" locked="0" layoutInCell="1" allowOverlap="1" wp14:anchorId="0C3165C0" wp14:editId="2D85509C">
          <wp:simplePos x="0" y="0"/>
          <wp:positionH relativeFrom="column">
            <wp:posOffset>-389255</wp:posOffset>
          </wp:positionH>
          <wp:positionV relativeFrom="paragraph">
            <wp:posOffset>1270</wp:posOffset>
          </wp:positionV>
          <wp:extent cx="1097280" cy="1097280"/>
          <wp:effectExtent l="0" t="0" r="762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44B" w:rsidRPr="0004244B">
      <w:rPr>
        <w:b/>
        <w:sz w:val="24"/>
        <w:szCs w:val="24"/>
        <w:lang w:val="de-CH"/>
      </w:rPr>
      <w:tab/>
    </w:r>
    <w:r w:rsidR="0004244B" w:rsidRPr="0004244B">
      <w:rPr>
        <w:b/>
        <w:color w:val="002060"/>
        <w:sz w:val="24"/>
        <w:szCs w:val="24"/>
        <w:lang w:val="de-CH"/>
      </w:rPr>
      <w:t>Schweizerische Vereinigung für Betriebssanität (SVBS)</w:t>
    </w:r>
  </w:p>
  <w:p w14:paraId="5C2F9B72" w14:textId="77777777" w:rsidR="0004244B" w:rsidRPr="00756C8A" w:rsidRDefault="0004244B" w:rsidP="0004244B">
    <w:pPr>
      <w:pStyle w:val="Kopfzeile"/>
      <w:ind w:left="-709"/>
      <w:jc w:val="right"/>
      <w:rPr>
        <w:color w:val="002060"/>
        <w:sz w:val="24"/>
        <w:szCs w:val="24"/>
        <w:lang w:val="de-CH"/>
      </w:rPr>
    </w:pPr>
    <w:r w:rsidRPr="00756C8A">
      <w:rPr>
        <w:color w:val="002060"/>
        <w:sz w:val="24"/>
        <w:szCs w:val="24"/>
        <w:lang w:val="de-CH"/>
      </w:rPr>
      <w:t>www.svbs-asse.ch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32C1"/>
    <w:multiLevelType w:val="hybridMultilevel"/>
    <w:tmpl w:val="C440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32B3"/>
    <w:multiLevelType w:val="hybridMultilevel"/>
    <w:tmpl w:val="78C827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BE2"/>
    <w:rsid w:val="0004244B"/>
    <w:rsid w:val="000646E2"/>
    <w:rsid w:val="0015633D"/>
    <w:rsid w:val="001D445C"/>
    <w:rsid w:val="001E23B0"/>
    <w:rsid w:val="001E7FB4"/>
    <w:rsid w:val="0024322F"/>
    <w:rsid w:val="0029022C"/>
    <w:rsid w:val="004E0C41"/>
    <w:rsid w:val="00582FBB"/>
    <w:rsid w:val="005A3198"/>
    <w:rsid w:val="005D2885"/>
    <w:rsid w:val="005D3571"/>
    <w:rsid w:val="00706F0E"/>
    <w:rsid w:val="00756C8A"/>
    <w:rsid w:val="007730D5"/>
    <w:rsid w:val="00853D1D"/>
    <w:rsid w:val="00863BE2"/>
    <w:rsid w:val="00896755"/>
    <w:rsid w:val="009025C9"/>
    <w:rsid w:val="00933EDE"/>
    <w:rsid w:val="00B103D8"/>
    <w:rsid w:val="00BE52DC"/>
    <w:rsid w:val="00CF7CAC"/>
    <w:rsid w:val="00D24C11"/>
    <w:rsid w:val="00E054B3"/>
    <w:rsid w:val="00E14ADF"/>
    <w:rsid w:val="00E47D45"/>
    <w:rsid w:val="00E57572"/>
    <w:rsid w:val="00E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A19DEB"/>
  <w15:docId w15:val="{2C5FA0EA-3702-4C4C-8B42-1CBBC8E2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7D4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44B"/>
  </w:style>
  <w:style w:type="paragraph" w:styleId="Fuzeile">
    <w:name w:val="footer"/>
    <w:basedOn w:val="Standard"/>
    <w:link w:val="FuzeileZchn"/>
    <w:uiPriority w:val="99"/>
    <w:unhideWhenUsed/>
    <w:rsid w:val="000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44B"/>
  </w:style>
  <w:style w:type="paragraph" w:styleId="Listenabsatz">
    <w:name w:val="List Paragraph"/>
    <w:basedOn w:val="Standard"/>
    <w:uiPriority w:val="34"/>
    <w:qFormat/>
    <w:rsid w:val="001D44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885"/>
    <w:rPr>
      <w:rFonts w:ascii="Segoe UI" w:hAnsi="Segoe UI" w:cs="Segoe UI"/>
      <w:sz w:val="18"/>
      <w:szCs w:val="18"/>
    </w:rPr>
  </w:style>
  <w:style w:type="character" w:customStyle="1" w:styleId="3Grundtext">
    <w:name w:val="3_Grundtext"/>
    <w:basedOn w:val="Absatz-Standardschriftart"/>
    <w:uiPriority w:val="1"/>
    <w:qFormat/>
    <w:rsid w:val="00896755"/>
    <w:rPr>
      <w:rFonts w:ascii="UnitOT-Light" w:hAnsi="UnitOT-Light"/>
      <w:b w:val="0"/>
      <w:bCs w:val="0"/>
      <w:i w:val="0"/>
      <w:iCs w:val="0"/>
      <w:sz w:val="20"/>
      <w:szCs w:val="20"/>
    </w:rPr>
  </w:style>
  <w:style w:type="table" w:styleId="Tabellenraster">
    <w:name w:val="Table Grid"/>
    <w:basedOn w:val="NormaleTabelle"/>
    <w:uiPriority w:val="59"/>
    <w:rsid w:val="00896755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bs-as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notfallTrainig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Kuehnis</dc:creator>
  <cp:lastModifiedBy>Stefan Kühnis</cp:lastModifiedBy>
  <cp:revision>3</cp:revision>
  <cp:lastPrinted>2016-05-26T18:04:00Z</cp:lastPrinted>
  <dcterms:created xsi:type="dcterms:W3CDTF">2019-09-03T12:00:00Z</dcterms:created>
  <dcterms:modified xsi:type="dcterms:W3CDTF">2019-09-05T14:14:00Z</dcterms:modified>
</cp:coreProperties>
</file>